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D8" w:rsidRPr="009650C0" w:rsidRDefault="007C4218" w:rsidP="00005A16">
      <w:pPr>
        <w:spacing w:after="0"/>
        <w:rPr>
          <w:b/>
          <w:color w:val="0070C0"/>
          <w:sz w:val="28"/>
          <w:szCs w:val="28"/>
        </w:rPr>
      </w:pPr>
      <w:r w:rsidRPr="009650C0">
        <w:rPr>
          <w:b/>
          <w:color w:val="0070C0"/>
          <w:sz w:val="28"/>
          <w:szCs w:val="28"/>
        </w:rPr>
        <w:t xml:space="preserve">Michel </w:t>
      </w:r>
      <w:proofErr w:type="spellStart"/>
      <w:r w:rsidRPr="009650C0">
        <w:rPr>
          <w:b/>
          <w:color w:val="0070C0"/>
          <w:sz w:val="28"/>
          <w:szCs w:val="28"/>
        </w:rPr>
        <w:t>Melot</w:t>
      </w:r>
      <w:proofErr w:type="spellEnd"/>
      <w:r w:rsidRPr="009650C0">
        <w:rPr>
          <w:b/>
          <w:color w:val="0070C0"/>
          <w:sz w:val="28"/>
          <w:szCs w:val="28"/>
        </w:rPr>
        <w:t xml:space="preserve"> – Le Livre</w:t>
      </w:r>
    </w:p>
    <w:p w:rsidR="007C4218" w:rsidRPr="009650C0" w:rsidRDefault="00334088" w:rsidP="00005A16">
      <w:pPr>
        <w:spacing w:after="0"/>
        <w:rPr>
          <w:b/>
          <w:color w:val="FF0000"/>
          <w:sz w:val="28"/>
          <w:szCs w:val="28"/>
        </w:rPr>
      </w:pPr>
      <w:r>
        <w:br/>
      </w:r>
      <w:r w:rsidRPr="009650C0">
        <w:rPr>
          <w:b/>
          <w:color w:val="FF0000"/>
          <w:sz w:val="28"/>
          <w:szCs w:val="28"/>
        </w:rPr>
        <w:t>Chapitre 1 : Et le Verbe se fit Livre…</w:t>
      </w:r>
    </w:p>
    <w:p w:rsidR="00005A16" w:rsidRDefault="00005A16" w:rsidP="00005A16">
      <w:pPr>
        <w:spacing w:after="0"/>
      </w:pPr>
    </w:p>
    <w:p w:rsidR="007C4218" w:rsidRDefault="007C4218" w:rsidP="00005A16">
      <w:pPr>
        <w:spacing w:after="0"/>
      </w:pPr>
      <w:r>
        <w:t xml:space="preserve">Page 17 : réflexion sur le livre, sa manipulation, son aspect, son futur, le lien qu’il crée avec le lecteur. Il est comparé à l’ordinateur, une lecture différente, un aspect immatériel du texte </w:t>
      </w:r>
      <w:r w:rsidRPr="00404D12">
        <w:rPr>
          <w:i/>
          <w:color w:val="595959" w:themeColor="text1" w:themeTint="A6"/>
        </w:rPr>
        <w:t>« vous le liriez de même, vous ne l’oublierez pas davantage, peut-être, mais votre ordinateur, lui, il l’oubliera »</w:t>
      </w:r>
    </w:p>
    <w:p w:rsidR="009B6C33" w:rsidRDefault="009B6C33" w:rsidP="00005A16">
      <w:pPr>
        <w:spacing w:after="0"/>
      </w:pPr>
      <w:r>
        <w:t>Question de la matérialité, sa morphologie, une question à la mode aujourd’hui.</w:t>
      </w:r>
    </w:p>
    <w:p w:rsidR="009B6C33" w:rsidRPr="00654A47" w:rsidRDefault="009B6C33" w:rsidP="00005A16">
      <w:pPr>
        <w:spacing w:after="0"/>
        <w:rPr>
          <w:color w:val="7030A0"/>
        </w:rPr>
      </w:pPr>
      <w:r>
        <w:t xml:space="preserve">Livre qui intéresse les historiens que depuis peu, lorsqu’ils se sont </w:t>
      </w:r>
      <w:proofErr w:type="gramStart"/>
      <w:r w:rsidR="00963E48">
        <w:t>avisés</w:t>
      </w:r>
      <w:proofErr w:type="gramEnd"/>
      <w:r>
        <w:t xml:space="preserve"> que la m</w:t>
      </w:r>
      <w:r w:rsidR="00005A16">
        <w:t>anière dont vous allez le lire.</w:t>
      </w:r>
      <w:r w:rsidR="00CE0A19">
        <w:t xml:space="preserve"> </w:t>
      </w:r>
      <w:r w:rsidR="00963E48">
        <w:t>Historiens on</w:t>
      </w:r>
      <w:bookmarkStart w:id="0" w:name="_GoBack"/>
      <w:bookmarkEnd w:id="0"/>
      <w:r w:rsidR="00963E48">
        <w:t>t pris une certaine</w:t>
      </w:r>
      <w:r w:rsidR="00CE0A19">
        <w:t xml:space="preserve"> distance du livre lors de l’apparition de l’ordinateur, à l’époque où se développait l’informatique. Au moment de l’éruption de l’électronique, notamment de l’</w:t>
      </w:r>
      <w:r w:rsidR="00963E48">
        <w:t xml:space="preserve">apparition des écrans &gt; attribution d’un nouvel intérêt. </w:t>
      </w:r>
      <w:r w:rsidR="00963E48" w:rsidRPr="00404D12">
        <w:rPr>
          <w:i/>
          <w:color w:val="595959" w:themeColor="text1" w:themeTint="A6"/>
        </w:rPr>
        <w:t>« Pour observer le bocal, il ne vaut mieux pas être le poisson »</w:t>
      </w:r>
      <w:r w:rsidR="00963E48">
        <w:t>.</w:t>
      </w:r>
      <w:r w:rsidR="00005A16">
        <w:br/>
        <w:t xml:space="preserve">L’auteur insiste sur l’objet livre, qui est unique, par sa propre histoire, sa vie </w:t>
      </w:r>
      <w:r w:rsidR="00963E48">
        <w:t>particulière</w:t>
      </w:r>
      <w:r w:rsidR="00005A16">
        <w:t>, ses lecteurs et ses interprétations, distincts de ceux de tous les autres exemplaires.</w:t>
      </w:r>
      <w:r w:rsidR="00005A16">
        <w:br/>
      </w:r>
      <w:r w:rsidR="005B342F">
        <w:br/>
      </w:r>
      <w:r w:rsidR="009650C0" w:rsidRPr="00654A47">
        <w:rPr>
          <w:b/>
          <w:color w:val="7030A0"/>
        </w:rPr>
        <w:t>Référence</w:t>
      </w:r>
      <w:r w:rsidR="005B342F" w:rsidRPr="00654A47">
        <w:rPr>
          <w:b/>
          <w:color w:val="7030A0"/>
        </w:rPr>
        <w:t> :</w:t>
      </w:r>
    </w:p>
    <w:p w:rsidR="005B342F" w:rsidRPr="00654A47" w:rsidRDefault="005B342F" w:rsidP="00005A16">
      <w:pPr>
        <w:spacing w:after="0"/>
        <w:rPr>
          <w:color w:val="7030A0"/>
        </w:rPr>
      </w:pPr>
      <w:r w:rsidRPr="00654A47">
        <w:rPr>
          <w:color w:val="7030A0"/>
        </w:rPr>
        <w:t>p.18</w:t>
      </w:r>
      <w:r w:rsidRPr="00654A47">
        <w:rPr>
          <w:color w:val="7030A0"/>
        </w:rPr>
        <w:br/>
        <w:t>ouvrages qui ont marqué ces préoccupations :</w:t>
      </w:r>
    </w:p>
    <w:p w:rsidR="005B342F" w:rsidRPr="00654A47" w:rsidRDefault="005B342F" w:rsidP="00005A16">
      <w:pPr>
        <w:spacing w:after="0"/>
        <w:rPr>
          <w:color w:val="7030A0"/>
        </w:rPr>
      </w:pPr>
      <w:r w:rsidRPr="00654A47">
        <w:rPr>
          <w:color w:val="7030A0"/>
        </w:rPr>
        <w:t>L’apparition du livre, de L. Febvre et J.H Martin (1958)</w:t>
      </w:r>
    </w:p>
    <w:p w:rsidR="005B342F" w:rsidRPr="00654A47" w:rsidRDefault="005B342F" w:rsidP="00005A16">
      <w:pPr>
        <w:spacing w:after="0"/>
        <w:rPr>
          <w:color w:val="7030A0"/>
        </w:rPr>
      </w:pPr>
      <w:r w:rsidRPr="00654A47">
        <w:rPr>
          <w:color w:val="7030A0"/>
        </w:rPr>
        <w:t xml:space="preserve">La galaxie Gutenberg face à l’ère électronique, M </w:t>
      </w:r>
      <w:proofErr w:type="spellStart"/>
      <w:r w:rsidRPr="00654A47">
        <w:rPr>
          <w:color w:val="7030A0"/>
        </w:rPr>
        <w:t>McLuhan</w:t>
      </w:r>
      <w:proofErr w:type="spellEnd"/>
      <w:r w:rsidRPr="00654A47">
        <w:rPr>
          <w:color w:val="7030A0"/>
        </w:rPr>
        <w:t xml:space="preserve"> (1962) </w:t>
      </w:r>
    </w:p>
    <w:p w:rsidR="005B342F" w:rsidRPr="00654A47" w:rsidRDefault="005B342F" w:rsidP="00005A16">
      <w:pPr>
        <w:spacing w:after="0"/>
        <w:rPr>
          <w:color w:val="7030A0"/>
        </w:rPr>
      </w:pPr>
      <w:r w:rsidRPr="00654A47">
        <w:rPr>
          <w:color w:val="7030A0"/>
        </w:rPr>
        <w:t xml:space="preserve">La raison graphique. La domestication de la pensée, J. </w:t>
      </w:r>
      <w:proofErr w:type="spellStart"/>
      <w:r w:rsidRPr="00654A47">
        <w:rPr>
          <w:color w:val="7030A0"/>
        </w:rPr>
        <w:t>Goody</w:t>
      </w:r>
      <w:proofErr w:type="spellEnd"/>
      <w:r w:rsidRPr="00654A47">
        <w:rPr>
          <w:color w:val="7030A0"/>
        </w:rPr>
        <w:t xml:space="preserve"> (1979)</w:t>
      </w:r>
    </w:p>
    <w:p w:rsidR="00005A16" w:rsidRDefault="00005A16" w:rsidP="00005A16">
      <w:pPr>
        <w:spacing w:after="0"/>
      </w:pPr>
    </w:p>
    <w:p w:rsidR="009650C0" w:rsidRDefault="009650C0" w:rsidP="00005A16">
      <w:pPr>
        <w:spacing w:after="0"/>
      </w:pPr>
    </w:p>
    <w:p w:rsidR="00005A16" w:rsidRPr="009650C0" w:rsidRDefault="00005A16" w:rsidP="00005A16">
      <w:pPr>
        <w:spacing w:after="0"/>
        <w:rPr>
          <w:b/>
          <w:color w:val="002060"/>
          <w:sz w:val="24"/>
          <w:szCs w:val="24"/>
        </w:rPr>
      </w:pPr>
      <w:r w:rsidRPr="009650C0">
        <w:rPr>
          <w:b/>
          <w:color w:val="002060"/>
          <w:sz w:val="24"/>
          <w:szCs w:val="24"/>
        </w:rPr>
        <w:t>Le pouvoir de la forme</w:t>
      </w:r>
    </w:p>
    <w:p w:rsidR="00005A16" w:rsidRDefault="00CC3174" w:rsidP="00005A16">
      <w:pPr>
        <w:spacing w:after="0"/>
      </w:pPr>
      <w:r>
        <w:t>Anatomie, usage, ses lecteurs et leurs différences.</w:t>
      </w:r>
      <w:r>
        <w:br/>
        <w:t xml:space="preserve">Prouver qu’il est irremplaçable. Objet sensible qui a marqué nos esprits : empreinte. </w:t>
      </w:r>
    </w:p>
    <w:p w:rsidR="00005A16" w:rsidRDefault="00CC3174" w:rsidP="00005A16">
      <w:pPr>
        <w:spacing w:after="0"/>
      </w:pPr>
      <w:r>
        <w:t>Recherches afin d’expliquer pourquoi le livre subsiste à côté de nos outils électroniques.</w:t>
      </w:r>
    </w:p>
    <w:p w:rsidR="00005A16" w:rsidRDefault="00EF070F" w:rsidP="00005A16">
      <w:pPr>
        <w:spacing w:after="0"/>
      </w:pPr>
      <w:r>
        <w:t>Evocation et comparaison des anciennes formes qui a été subsistées par le livre : codex, l’argile, ro</w:t>
      </w:r>
      <w:r w:rsidR="001123CF">
        <w:t>uleau antique, tablette, stèle.</w:t>
      </w:r>
      <w:r w:rsidR="001123CF">
        <w:br/>
        <w:t>Réflexion : texte lu sur un livre et ce même texte lu sur écran perdra leur sens, et pour d’autre, ce sens n’est pas altéré.</w:t>
      </w:r>
    </w:p>
    <w:p w:rsidR="00FC056A" w:rsidRDefault="00FC056A" w:rsidP="00005A16">
      <w:pPr>
        <w:spacing w:after="0"/>
      </w:pPr>
      <w:r>
        <w:t>L’importance du papier, du grammage, de la couleur, etc</w:t>
      </w:r>
      <w:r w:rsidR="009650C0">
        <w:t>.</w:t>
      </w:r>
      <w:r>
        <w:t> : pour faire transmettre un sens spécifique au livre.</w:t>
      </w:r>
    </w:p>
    <w:p w:rsidR="00FC056A" w:rsidRDefault="00FC056A" w:rsidP="00005A16">
      <w:pPr>
        <w:spacing w:after="0"/>
      </w:pPr>
      <w:r>
        <w:t>Recherche d’un raison pour laquelle le codex a survécu aux écrans, et a subsisté la stèle, etc.</w:t>
      </w:r>
    </w:p>
    <w:p w:rsidR="00EF070F" w:rsidRDefault="00EF070F" w:rsidP="00005A16">
      <w:pPr>
        <w:spacing w:after="0"/>
      </w:pPr>
    </w:p>
    <w:p w:rsidR="009650C0" w:rsidRDefault="009650C0" w:rsidP="00005A16">
      <w:pPr>
        <w:spacing w:after="0"/>
      </w:pPr>
    </w:p>
    <w:p w:rsidR="005B342F" w:rsidRDefault="00005A16" w:rsidP="00005A16">
      <w:pPr>
        <w:spacing w:after="0"/>
      </w:pPr>
      <w:r w:rsidRPr="009650C0">
        <w:rPr>
          <w:b/>
          <w:color w:val="002060"/>
          <w:sz w:val="24"/>
          <w:szCs w:val="24"/>
        </w:rPr>
        <w:t>Quatre siècles pour s’imposer</w:t>
      </w:r>
      <w:r w:rsidR="00334088" w:rsidRPr="00EF070F">
        <w:rPr>
          <w:b/>
        </w:rPr>
        <w:br/>
      </w:r>
      <w:r w:rsidR="00B13760" w:rsidRPr="00404D12">
        <w:rPr>
          <w:i/>
          <w:color w:val="595959" w:themeColor="text1" w:themeTint="A6"/>
        </w:rPr>
        <w:t>« Or, si on se penche sur les origines du codex, et les raisons de sa suprématie on est plongé dans un profond mystère. »</w:t>
      </w:r>
    </w:p>
    <w:p w:rsidR="00033C7D" w:rsidRDefault="00033C7D" w:rsidP="00005A16">
      <w:pPr>
        <w:spacing w:after="0"/>
      </w:pPr>
      <w:r>
        <w:t>Avantages et inconvénients des anciennes formes en comparaison avec le codex.</w:t>
      </w:r>
    </w:p>
    <w:p w:rsidR="00033C7D" w:rsidRDefault="00033C7D" w:rsidP="00005A16">
      <w:pPr>
        <w:spacing w:after="0"/>
      </w:pPr>
      <w:r>
        <w:t xml:space="preserve"> </w:t>
      </w:r>
    </w:p>
    <w:p w:rsidR="009650C0" w:rsidRDefault="009650C0" w:rsidP="00005A16">
      <w:pPr>
        <w:spacing w:after="0"/>
      </w:pPr>
    </w:p>
    <w:p w:rsidR="009650C0" w:rsidRDefault="009650C0" w:rsidP="00005A16">
      <w:pPr>
        <w:spacing w:after="0"/>
      </w:pPr>
      <w:r w:rsidRPr="009650C0">
        <w:rPr>
          <w:b/>
          <w:color w:val="002060"/>
          <w:sz w:val="24"/>
          <w:szCs w:val="24"/>
        </w:rPr>
        <w:t>Païen ou chrétien ?</w:t>
      </w:r>
      <w:r>
        <w:br/>
        <w:t>Codex : recherches de la cause qui a permis de faire propager le codex. Origine Italie, Rome</w:t>
      </w:r>
      <w:r>
        <w:br/>
        <w:t xml:space="preserve">- Jules césar pour ses cahiers </w:t>
      </w:r>
      <w:r>
        <w:br/>
        <w:t xml:space="preserve">- poète Martial qui indiquait d'acheter ces codex, l'emporter partout donc diffusion </w:t>
      </w:r>
      <w:r>
        <w:br/>
      </w:r>
      <w:r>
        <w:lastRenderedPageBreak/>
        <w:t>2ème certitude : troublante</w:t>
      </w:r>
      <w:r>
        <w:br/>
        <w:t>- ceux trouvés sont la plupart chrétiens : pourquoi les chrétiens, et apparemment eux seuls ou tout au moins eux principalement, eurent-ils revoir à ce mode si pratique d'écrire, de manipuler, de lire et de con</w:t>
      </w:r>
      <w:r w:rsidR="00404D12">
        <w:t xml:space="preserve">server l'écriture ? </w:t>
      </w:r>
      <w:r w:rsidR="00404D12">
        <w:br/>
        <w:t xml:space="preserve">Page 22 : </w:t>
      </w:r>
      <w:r w:rsidR="00404D12" w:rsidRPr="00404D12">
        <w:rPr>
          <w:color w:val="595959" w:themeColor="text1" w:themeTint="A6"/>
        </w:rPr>
        <w:t>« </w:t>
      </w:r>
      <w:r w:rsidRPr="00404D12">
        <w:rPr>
          <w:i/>
          <w:color w:val="595959" w:themeColor="text1" w:themeTint="A6"/>
        </w:rPr>
        <w:t>cela ne nous dit pas pourquoi le codex l'a emporté sur le rouleau, pourquoi il est devenu le premier outil de la mondialisation et pourquoi il garde ses mérites face à l'écran. Les raisons pratiques sont le plus souvent évoquées.</w:t>
      </w:r>
      <w:r w:rsidR="00404D12" w:rsidRPr="00404D12">
        <w:rPr>
          <w:color w:val="595959" w:themeColor="text1" w:themeTint="A6"/>
        </w:rPr>
        <w:t> »</w:t>
      </w:r>
      <w:r>
        <w:br/>
      </w:r>
    </w:p>
    <w:p w:rsidR="009650C0" w:rsidRPr="00F17700" w:rsidRDefault="009650C0" w:rsidP="00005A16">
      <w:pPr>
        <w:spacing w:after="0"/>
        <w:rPr>
          <w:color w:val="538135" w:themeColor="accent6" w:themeShade="BF"/>
        </w:rPr>
      </w:pPr>
      <w:r>
        <w:br/>
      </w:r>
      <w:r w:rsidRPr="009650C0">
        <w:rPr>
          <w:b/>
          <w:color w:val="002060"/>
          <w:sz w:val="24"/>
          <w:szCs w:val="24"/>
        </w:rPr>
        <w:t>Il replia le livre</w:t>
      </w:r>
      <w:r>
        <w:br/>
        <w:t xml:space="preserve">L'évangile // n'est pas un livre comme les autres. Car = écritures sacrées </w:t>
      </w:r>
      <w:r>
        <w:br/>
        <w:t xml:space="preserve">Le livres accompagnent les vies privées, de ce fait cela peut la dimension sacrée du livre (évangile), la dimension publique, ou l'usage officiel. Perte de l'usage occasionnel </w:t>
      </w:r>
      <w:r>
        <w:br/>
        <w:t xml:space="preserve">Le codex, ce livre que vous tenez entre vos mains et lisez seul en silence, est donc cet objet particulier, solidaire d'un contenu définitif, figé, intangible, un objet qui </w:t>
      </w:r>
      <w:r w:rsidR="00554FE3">
        <w:t>enclot</w:t>
      </w:r>
      <w:r>
        <w:t xml:space="preserve"> la Vérité dans une forme pratique et privative. Voilà ce que n'était ni la stèle ni le rouleau...</w:t>
      </w:r>
      <w:r>
        <w:br/>
      </w:r>
      <w:r>
        <w:br/>
      </w:r>
      <w:r w:rsidRPr="00F17700">
        <w:rPr>
          <w:b/>
          <w:color w:val="538135" w:themeColor="accent6" w:themeShade="BF"/>
        </w:rPr>
        <w:t>Mots :</w:t>
      </w:r>
      <w:r w:rsidRPr="00F17700">
        <w:rPr>
          <w:color w:val="538135" w:themeColor="accent6" w:themeShade="BF"/>
        </w:rPr>
        <w:t xml:space="preserve"> </w:t>
      </w:r>
      <w:r w:rsidRPr="00F17700">
        <w:rPr>
          <w:color w:val="538135" w:themeColor="accent6" w:themeShade="BF"/>
        </w:rPr>
        <w:br/>
      </w:r>
      <w:r w:rsidRPr="00F17700">
        <w:rPr>
          <w:color w:val="538135" w:themeColor="accent6" w:themeShade="BF"/>
          <w:u w:val="single"/>
        </w:rPr>
        <w:t>Hébraïsme</w:t>
      </w:r>
      <w:r w:rsidR="00F17700" w:rsidRPr="00F17700">
        <w:rPr>
          <w:color w:val="538135" w:themeColor="accent6" w:themeShade="BF"/>
        </w:rPr>
        <w:t> : Mot ou expression emprunté à l'hébreu.</w:t>
      </w:r>
      <w:r w:rsidRPr="00F17700">
        <w:rPr>
          <w:color w:val="538135" w:themeColor="accent6" w:themeShade="BF"/>
        </w:rPr>
        <w:br/>
      </w:r>
      <w:r w:rsidRPr="00F17700">
        <w:rPr>
          <w:color w:val="538135" w:themeColor="accent6" w:themeShade="BF"/>
          <w:u w:val="single"/>
        </w:rPr>
        <w:t>Nouveau testament</w:t>
      </w:r>
      <w:r w:rsidR="00F17700">
        <w:rPr>
          <w:color w:val="538135" w:themeColor="accent6" w:themeShade="BF"/>
        </w:rPr>
        <w:t xml:space="preserve"> : </w:t>
      </w:r>
      <w:r w:rsidR="00F17700" w:rsidRPr="00F17700">
        <w:rPr>
          <w:color w:val="538135" w:themeColor="accent6" w:themeShade="BF"/>
        </w:rPr>
        <w:t>Ensemble des écrits relatifs à la vie de Jésus et aux premières années du christianisme qui sont considérés comme authentiques par les Églises chrétiennes.</w:t>
      </w:r>
      <w:r w:rsidRPr="00F17700">
        <w:rPr>
          <w:color w:val="538135" w:themeColor="accent6" w:themeShade="BF"/>
        </w:rPr>
        <w:br/>
      </w:r>
      <w:r w:rsidRPr="00F17700">
        <w:rPr>
          <w:color w:val="538135" w:themeColor="accent6" w:themeShade="BF"/>
          <w:u w:val="single"/>
        </w:rPr>
        <w:t>Torah &gt; rouleau</w:t>
      </w:r>
      <w:r w:rsidR="00F17700" w:rsidRPr="00F17700">
        <w:rPr>
          <w:color w:val="538135" w:themeColor="accent6" w:themeShade="BF"/>
        </w:rPr>
        <w:t xml:space="preserve"> : </w:t>
      </w:r>
      <w:r w:rsidR="00F17700" w:rsidRPr="00F17700">
        <w:rPr>
          <w:color w:val="538135" w:themeColor="accent6" w:themeShade="BF"/>
        </w:rPr>
        <w:t xml:space="preserve">est, selon la tradition du </w:t>
      </w:r>
      <w:r w:rsidR="00F17700" w:rsidRPr="00F17700">
        <w:rPr>
          <w:color w:val="538135" w:themeColor="accent6" w:themeShade="BF"/>
        </w:rPr>
        <w:t>judaïsme</w:t>
      </w:r>
      <w:r w:rsidR="00F17700" w:rsidRPr="00F17700">
        <w:rPr>
          <w:color w:val="538135" w:themeColor="accent6" w:themeShade="BF"/>
        </w:rPr>
        <w:t xml:space="preserve">, l'enseignement divin transmis par </w:t>
      </w:r>
      <w:r w:rsidR="00F17700" w:rsidRPr="00F17700">
        <w:rPr>
          <w:color w:val="538135" w:themeColor="accent6" w:themeShade="BF"/>
        </w:rPr>
        <w:t>Moï</w:t>
      </w:r>
      <w:r w:rsidR="00F17700" w:rsidRPr="00F17700">
        <w:rPr>
          <w:color w:val="538135" w:themeColor="accent6" w:themeShade="BF"/>
        </w:rPr>
        <w:t>s</w:t>
      </w:r>
      <w:r w:rsidR="00F17700" w:rsidRPr="00F17700">
        <w:rPr>
          <w:color w:val="538135" w:themeColor="accent6" w:themeShade="BF"/>
        </w:rPr>
        <w:t>e</w:t>
      </w:r>
      <w:r w:rsidR="00F17700">
        <w:rPr>
          <w:color w:val="538135" w:themeColor="accent6" w:themeShade="BF"/>
        </w:rPr>
        <w:t>.</w:t>
      </w:r>
      <w:r w:rsidRPr="00F17700">
        <w:rPr>
          <w:color w:val="538135" w:themeColor="accent6" w:themeShade="BF"/>
        </w:rPr>
        <w:br/>
      </w:r>
      <w:proofErr w:type="spellStart"/>
      <w:r w:rsidRPr="00F17700">
        <w:rPr>
          <w:color w:val="538135" w:themeColor="accent6" w:themeShade="BF"/>
          <w:u w:val="single"/>
        </w:rPr>
        <w:t>Volumen</w:t>
      </w:r>
      <w:proofErr w:type="spellEnd"/>
      <w:r w:rsidRPr="00F17700">
        <w:rPr>
          <w:color w:val="538135" w:themeColor="accent6" w:themeShade="BF"/>
        </w:rPr>
        <w:t xml:space="preserve"> </w:t>
      </w:r>
      <w:r w:rsidR="00F17700">
        <w:rPr>
          <w:color w:val="538135" w:themeColor="accent6" w:themeShade="BF"/>
        </w:rPr>
        <w:t xml:space="preserve">rouleau </w:t>
      </w:r>
      <w:r w:rsidRPr="00F17700">
        <w:rPr>
          <w:color w:val="538135" w:themeColor="accent6" w:themeShade="BF"/>
        </w:rPr>
        <w:t xml:space="preserve">// </w:t>
      </w:r>
      <w:r w:rsidRPr="00F17700">
        <w:rPr>
          <w:color w:val="538135" w:themeColor="accent6" w:themeShade="BF"/>
          <w:u w:val="single"/>
        </w:rPr>
        <w:t>codex</w:t>
      </w:r>
      <w:r w:rsidRPr="00F17700">
        <w:rPr>
          <w:color w:val="538135" w:themeColor="accent6" w:themeShade="BF"/>
        </w:rPr>
        <w:t xml:space="preserve"> </w:t>
      </w:r>
      <w:r w:rsidR="00F17700">
        <w:rPr>
          <w:color w:val="538135" w:themeColor="accent6" w:themeShade="BF"/>
        </w:rPr>
        <w:t>livre</w:t>
      </w:r>
      <w:r>
        <w:br/>
      </w:r>
      <w:r>
        <w:br/>
      </w:r>
      <w:r>
        <w:br/>
      </w:r>
      <w:r w:rsidRPr="009650C0">
        <w:rPr>
          <w:b/>
          <w:color w:val="002060"/>
          <w:sz w:val="24"/>
          <w:szCs w:val="24"/>
        </w:rPr>
        <w:t>Le modèle d'une église virtuelle</w:t>
      </w:r>
      <w:r>
        <w:br/>
        <w:t xml:space="preserve">Église : se prête à l'indexation, donc au feuilletage </w:t>
      </w:r>
      <w:r>
        <w:br/>
        <w:t xml:space="preserve">Codex : économie d'espace par rapport rouleau : ex avec nouveau testament  (30 m rouleau) face les évangiles pour 100 pages </w:t>
      </w:r>
      <w:r>
        <w:br/>
      </w:r>
      <w:r>
        <w:br/>
      </w:r>
      <w:r w:rsidRPr="00F17700">
        <w:rPr>
          <w:b/>
          <w:color w:val="538135" w:themeColor="accent6" w:themeShade="BF"/>
        </w:rPr>
        <w:t>Mots :</w:t>
      </w:r>
      <w:r w:rsidRPr="00F17700">
        <w:rPr>
          <w:color w:val="538135" w:themeColor="accent6" w:themeShade="BF"/>
        </w:rPr>
        <w:t xml:space="preserve"> </w:t>
      </w:r>
    </w:p>
    <w:p w:rsidR="009650C0" w:rsidRPr="00F17700" w:rsidRDefault="009650C0" w:rsidP="00005A16">
      <w:pPr>
        <w:spacing w:after="0"/>
        <w:rPr>
          <w:color w:val="538135" w:themeColor="accent6" w:themeShade="BF"/>
        </w:rPr>
      </w:pPr>
      <w:r w:rsidRPr="00F17700">
        <w:rPr>
          <w:color w:val="538135" w:themeColor="accent6" w:themeShade="BF"/>
          <w:u w:val="single"/>
        </w:rPr>
        <w:t>Vertus corollaires</w:t>
      </w:r>
      <w:r w:rsidR="00F17700" w:rsidRPr="00F17700">
        <w:rPr>
          <w:color w:val="538135" w:themeColor="accent6" w:themeShade="BF"/>
        </w:rPr>
        <w:t> </w:t>
      </w:r>
      <w:r w:rsidR="00F17700">
        <w:rPr>
          <w:color w:val="538135" w:themeColor="accent6" w:themeShade="BF"/>
        </w:rPr>
        <w:t xml:space="preserve">: vertu dont </w:t>
      </w:r>
      <w:r w:rsidR="00F17700" w:rsidRPr="00F17700">
        <w:rPr>
          <w:color w:val="538135" w:themeColor="accent6" w:themeShade="BF"/>
        </w:rPr>
        <w:t>les conséquences sont inévitables</w:t>
      </w:r>
      <w:r w:rsidRPr="00F17700">
        <w:rPr>
          <w:color w:val="538135" w:themeColor="accent6" w:themeShade="BF"/>
        </w:rPr>
        <w:t xml:space="preserve">. </w:t>
      </w:r>
      <w:r w:rsidRPr="00F17700">
        <w:rPr>
          <w:color w:val="538135" w:themeColor="accent6" w:themeShade="BF"/>
        </w:rPr>
        <w:br/>
      </w:r>
      <w:r w:rsidRPr="00F17700">
        <w:rPr>
          <w:color w:val="538135" w:themeColor="accent6" w:themeShade="BF"/>
          <w:u w:val="single"/>
        </w:rPr>
        <w:t>Vade-mecum</w:t>
      </w:r>
      <w:r w:rsidR="00F17700" w:rsidRPr="00F17700">
        <w:rPr>
          <w:color w:val="538135" w:themeColor="accent6" w:themeShade="BF"/>
        </w:rPr>
        <w:t xml:space="preserve"> : </w:t>
      </w:r>
      <w:r w:rsidR="00F17700" w:rsidRPr="00F17700">
        <w:rPr>
          <w:color w:val="538135" w:themeColor="accent6" w:themeShade="BF"/>
        </w:rPr>
        <w:t>Guide, manuel que l'on garde avec soi pour le consulter.</w:t>
      </w:r>
      <w:r w:rsidRPr="00F17700">
        <w:rPr>
          <w:color w:val="538135" w:themeColor="accent6" w:themeShade="BF"/>
        </w:rPr>
        <w:br/>
      </w:r>
      <w:r w:rsidRPr="00F17700">
        <w:rPr>
          <w:color w:val="538135" w:themeColor="accent6" w:themeShade="BF"/>
          <w:u w:val="single"/>
        </w:rPr>
        <w:t>Diaspora</w:t>
      </w:r>
      <w:r w:rsidR="00F17700" w:rsidRPr="00F17700">
        <w:rPr>
          <w:color w:val="538135" w:themeColor="accent6" w:themeShade="BF"/>
        </w:rPr>
        <w:t xml:space="preserve"> : </w:t>
      </w:r>
      <w:r w:rsidR="00F17700" w:rsidRPr="00F17700">
        <w:rPr>
          <w:color w:val="538135" w:themeColor="accent6" w:themeShade="BF"/>
        </w:rPr>
        <w:t>Dispersion d'un peuple, d'une ethnie à travers le monde</w:t>
      </w:r>
      <w:r w:rsidRPr="00F17700">
        <w:rPr>
          <w:color w:val="538135" w:themeColor="accent6" w:themeShade="BF"/>
        </w:rPr>
        <w:br/>
      </w:r>
    </w:p>
    <w:p w:rsidR="00654A47" w:rsidRPr="00654A47" w:rsidRDefault="009650C0" w:rsidP="00654A47">
      <w:pPr>
        <w:rPr>
          <w:rFonts w:eastAsia="Times New Roman" w:cs="Times New Roman"/>
          <w:color w:val="538135" w:themeColor="accent6" w:themeShade="BF"/>
          <w:lang w:eastAsia="fr-FR"/>
        </w:rPr>
      </w:pPr>
      <w:r>
        <w:br/>
      </w:r>
      <w:r w:rsidRPr="009650C0">
        <w:rPr>
          <w:b/>
          <w:color w:val="002060"/>
          <w:sz w:val="24"/>
        </w:rPr>
        <w:t>Ce qui réside entre deux couvertures</w:t>
      </w:r>
      <w:r>
        <w:br/>
      </w:r>
      <w:r w:rsidRPr="00654A47">
        <w:rPr>
          <w:color w:val="538135" w:themeColor="accent6" w:themeShade="BF"/>
        </w:rPr>
        <w:br/>
      </w:r>
      <w:r w:rsidRPr="00654A47">
        <w:rPr>
          <w:b/>
          <w:color w:val="538135" w:themeColor="accent6" w:themeShade="BF"/>
        </w:rPr>
        <w:t>Mots :</w:t>
      </w:r>
      <w:r w:rsidRPr="00654A47">
        <w:rPr>
          <w:color w:val="538135" w:themeColor="accent6" w:themeShade="BF"/>
        </w:rPr>
        <w:t xml:space="preserve"> </w:t>
      </w:r>
      <w:r w:rsidRPr="00654A47">
        <w:rPr>
          <w:color w:val="538135" w:themeColor="accent6" w:themeShade="BF"/>
          <w:u w:val="single"/>
        </w:rPr>
        <w:t>psalmodie</w:t>
      </w:r>
      <w:r w:rsidR="00654A47" w:rsidRPr="00654A47">
        <w:rPr>
          <w:color w:val="538135" w:themeColor="accent6" w:themeShade="BF"/>
        </w:rPr>
        <w:t xml:space="preserve"> : </w:t>
      </w:r>
      <w:r w:rsidR="00654A47" w:rsidRPr="00654A47">
        <w:rPr>
          <w:rFonts w:eastAsia="Times New Roman" w:cs="Times New Roman"/>
          <w:color w:val="538135" w:themeColor="accent6" w:themeShade="BF"/>
          <w:lang w:eastAsia="fr-FR"/>
        </w:rPr>
        <w:t>c</w:t>
      </w:r>
      <w:hyperlink r:id="rId4" w:history="1">
        <w:r w:rsidR="00654A47" w:rsidRPr="00654A47">
          <w:rPr>
            <w:rFonts w:eastAsia="Times New Roman" w:cs="Times New Roman"/>
            <w:b/>
            <w:bCs/>
            <w:color w:val="538135" w:themeColor="accent6" w:themeShade="BF"/>
            <w:lang w:eastAsia="fr-FR"/>
          </w:rPr>
          <w:t>hant</w:t>
        </w:r>
      </w:hyperlink>
      <w:r w:rsidR="00654A47" w:rsidRPr="00654A47">
        <w:rPr>
          <w:rFonts w:eastAsia="Times New Roman" w:cs="Times New Roman"/>
          <w:color w:val="538135" w:themeColor="accent6" w:themeShade="BF"/>
          <w:lang w:eastAsia="fr-FR"/>
        </w:rPr>
        <w:t xml:space="preserve"> </w:t>
      </w:r>
      <w:hyperlink r:id="rId5" w:history="1">
        <w:r w:rsidR="00654A47" w:rsidRPr="00654A47">
          <w:rPr>
            <w:rFonts w:eastAsia="Times New Roman" w:cs="Times New Roman"/>
            <w:color w:val="538135" w:themeColor="accent6" w:themeShade="BF"/>
            <w:lang w:eastAsia="fr-FR"/>
          </w:rPr>
          <w:t>ou</w:t>
        </w:r>
      </w:hyperlink>
      <w:r w:rsidR="00654A47" w:rsidRPr="00654A47">
        <w:rPr>
          <w:rFonts w:eastAsia="Times New Roman" w:cs="Times New Roman"/>
          <w:color w:val="538135" w:themeColor="accent6" w:themeShade="BF"/>
          <w:lang w:eastAsia="fr-FR"/>
        </w:rPr>
        <w:t xml:space="preserve"> </w:t>
      </w:r>
      <w:hyperlink r:id="rId6" w:history="1">
        <w:r w:rsidR="00654A47" w:rsidRPr="00654A47">
          <w:rPr>
            <w:rFonts w:eastAsia="Times New Roman" w:cs="Times New Roman"/>
            <w:color w:val="538135" w:themeColor="accent6" w:themeShade="BF"/>
            <w:lang w:eastAsia="fr-FR"/>
          </w:rPr>
          <w:t>récit</w:t>
        </w:r>
      </w:hyperlink>
      <w:r w:rsidR="00654A47" w:rsidRPr="00654A47">
        <w:rPr>
          <w:rFonts w:eastAsia="Times New Roman" w:cs="Times New Roman"/>
          <w:color w:val="538135" w:themeColor="accent6" w:themeShade="BF"/>
          <w:lang w:eastAsia="fr-FR"/>
        </w:rPr>
        <w:t xml:space="preserve"> </w:t>
      </w:r>
      <w:hyperlink r:id="rId7" w:history="1">
        <w:r w:rsidR="00654A47" w:rsidRPr="00654A47">
          <w:rPr>
            <w:rFonts w:eastAsia="Times New Roman" w:cs="Times New Roman"/>
            <w:color w:val="538135" w:themeColor="accent6" w:themeShade="BF"/>
            <w:lang w:eastAsia="fr-FR"/>
          </w:rPr>
          <w:t>monocorde</w:t>
        </w:r>
      </w:hyperlink>
      <w:r w:rsidR="00654A47" w:rsidRPr="00654A47">
        <w:rPr>
          <w:rFonts w:eastAsia="Times New Roman" w:cs="Times New Roman"/>
          <w:color w:val="538135" w:themeColor="accent6" w:themeShade="BF"/>
          <w:lang w:eastAsia="fr-FR"/>
        </w:rPr>
        <w:t xml:space="preserve"> / </w:t>
      </w:r>
      <w:hyperlink r:id="rId8" w:history="1">
        <w:r w:rsidR="00654A47">
          <w:rPr>
            <w:rFonts w:eastAsia="Times New Roman" w:cs="Times New Roman"/>
            <w:color w:val="538135" w:themeColor="accent6" w:themeShade="BF"/>
            <w:lang w:eastAsia="fr-FR"/>
          </w:rPr>
          <w:t>m</w:t>
        </w:r>
        <w:r w:rsidR="00654A47" w:rsidRPr="00654A47">
          <w:rPr>
            <w:rFonts w:eastAsia="Times New Roman" w:cs="Times New Roman"/>
            <w:color w:val="538135" w:themeColor="accent6" w:themeShade="BF"/>
            <w:lang w:eastAsia="fr-FR"/>
          </w:rPr>
          <w:t>anière</w:t>
        </w:r>
      </w:hyperlink>
      <w:r w:rsidR="00654A47" w:rsidRPr="00654A47">
        <w:rPr>
          <w:rFonts w:eastAsia="Times New Roman" w:cs="Times New Roman"/>
          <w:color w:val="538135" w:themeColor="accent6" w:themeShade="BF"/>
          <w:lang w:eastAsia="fr-FR"/>
        </w:rPr>
        <w:t xml:space="preserve"> </w:t>
      </w:r>
      <w:hyperlink r:id="rId9" w:history="1">
        <w:r w:rsidR="00654A47" w:rsidRPr="00654A47">
          <w:rPr>
            <w:rFonts w:eastAsia="Times New Roman" w:cs="Times New Roman"/>
            <w:color w:val="538135" w:themeColor="accent6" w:themeShade="BF"/>
            <w:lang w:eastAsia="fr-FR"/>
          </w:rPr>
          <w:t>de</w:t>
        </w:r>
      </w:hyperlink>
      <w:r w:rsidR="00654A47" w:rsidRPr="00654A47">
        <w:rPr>
          <w:rFonts w:eastAsia="Times New Roman" w:cs="Times New Roman"/>
          <w:color w:val="538135" w:themeColor="accent6" w:themeShade="BF"/>
          <w:lang w:eastAsia="fr-FR"/>
        </w:rPr>
        <w:t xml:space="preserve"> </w:t>
      </w:r>
      <w:hyperlink r:id="rId10" w:history="1">
        <w:r w:rsidR="00654A47" w:rsidRPr="00654A47">
          <w:rPr>
            <w:rFonts w:eastAsia="Times New Roman" w:cs="Times New Roman"/>
            <w:color w:val="538135" w:themeColor="accent6" w:themeShade="BF"/>
            <w:lang w:eastAsia="fr-FR"/>
          </w:rPr>
          <w:t>chanter</w:t>
        </w:r>
      </w:hyperlink>
      <w:r w:rsidR="00654A47" w:rsidRPr="00654A47">
        <w:rPr>
          <w:rFonts w:eastAsia="Times New Roman" w:cs="Times New Roman"/>
          <w:color w:val="538135" w:themeColor="accent6" w:themeShade="BF"/>
          <w:lang w:eastAsia="fr-FR"/>
        </w:rPr>
        <w:t xml:space="preserve"> </w:t>
      </w:r>
      <w:hyperlink r:id="rId11" w:history="1">
        <w:r w:rsidR="00654A47" w:rsidRPr="00654A47">
          <w:rPr>
            <w:rFonts w:eastAsia="Times New Roman" w:cs="Times New Roman"/>
            <w:color w:val="538135" w:themeColor="accent6" w:themeShade="BF"/>
            <w:lang w:eastAsia="fr-FR"/>
          </w:rPr>
          <w:t>des</w:t>
        </w:r>
      </w:hyperlink>
      <w:r w:rsidR="00654A47" w:rsidRPr="00654A47">
        <w:rPr>
          <w:rFonts w:eastAsia="Times New Roman" w:cs="Times New Roman"/>
          <w:color w:val="538135" w:themeColor="accent6" w:themeShade="BF"/>
          <w:lang w:eastAsia="fr-FR"/>
        </w:rPr>
        <w:t xml:space="preserve"> </w:t>
      </w:r>
      <w:hyperlink r:id="rId12" w:history="1">
        <w:r w:rsidR="00654A47" w:rsidRPr="00654A47">
          <w:rPr>
            <w:rFonts w:eastAsia="Times New Roman" w:cs="Times New Roman"/>
            <w:color w:val="538135" w:themeColor="accent6" w:themeShade="BF"/>
            <w:lang w:eastAsia="fr-FR"/>
          </w:rPr>
          <w:t>psaumes</w:t>
        </w:r>
      </w:hyperlink>
      <w:r w:rsidR="00654A47" w:rsidRPr="00654A47">
        <w:rPr>
          <w:rFonts w:eastAsia="Times New Roman" w:cs="Times New Roman"/>
          <w:color w:val="538135" w:themeColor="accent6" w:themeShade="BF"/>
          <w:lang w:eastAsia="fr-FR"/>
        </w:rPr>
        <w:t xml:space="preserve">. </w:t>
      </w:r>
    </w:p>
    <w:p w:rsidR="00654A47" w:rsidRPr="00654A47" w:rsidRDefault="009650C0" w:rsidP="00005A16">
      <w:pPr>
        <w:spacing w:after="0"/>
        <w:rPr>
          <w:color w:val="538135" w:themeColor="accent6" w:themeShade="BF"/>
          <w:u w:val="single"/>
        </w:rPr>
      </w:pPr>
      <w:r w:rsidRPr="00654A47">
        <w:rPr>
          <w:color w:val="538135" w:themeColor="accent6" w:themeShade="BF"/>
        </w:rPr>
        <w:br/>
      </w:r>
      <w:r>
        <w:br/>
      </w:r>
      <w:r>
        <w:br/>
      </w:r>
      <w:r w:rsidRPr="009650C0">
        <w:rPr>
          <w:b/>
          <w:color w:val="002060"/>
          <w:sz w:val="24"/>
        </w:rPr>
        <w:t>Le corpus de dieu</w:t>
      </w:r>
      <w:r w:rsidRPr="009650C0">
        <w:rPr>
          <w:color w:val="002060"/>
          <w:sz w:val="24"/>
        </w:rPr>
        <w:t xml:space="preserve"> </w:t>
      </w:r>
      <w:r w:rsidR="00404D12">
        <w:br/>
      </w:r>
      <w:r w:rsidR="00404D12" w:rsidRPr="00404D12">
        <w:rPr>
          <w:i/>
          <w:color w:val="595959" w:themeColor="text1" w:themeTint="A6"/>
        </w:rPr>
        <w:t>« </w:t>
      </w:r>
      <w:r w:rsidRPr="00404D12">
        <w:rPr>
          <w:i/>
          <w:color w:val="595959" w:themeColor="text1" w:themeTint="A6"/>
        </w:rPr>
        <w:t>servir de support au texte n'est pas le propre du livre, moins encore si l'on y inclut toute écriture et toute image. Bien au contraire, pour l'écriture comme pour l</w:t>
      </w:r>
      <w:r w:rsidR="00404D12">
        <w:rPr>
          <w:i/>
          <w:color w:val="595959" w:themeColor="text1" w:themeTint="A6"/>
        </w:rPr>
        <w:t>'image, le livre est un carcan. »</w:t>
      </w:r>
      <w:r>
        <w:br/>
        <w:t>La mise en écrit des textes religieux répondent à une nécessité d'expansion de ses enseignements dans l'espace et dans le temps, et de la volonté de ses prêtres d'en conserver le contrôle à distance</w:t>
      </w:r>
      <w:proofErr w:type="gramStart"/>
      <w:r>
        <w:t>.</w:t>
      </w:r>
      <w:proofErr w:type="gramEnd"/>
      <w:r>
        <w:br/>
      </w:r>
      <w:r w:rsidR="00404D12">
        <w:rPr>
          <w:i/>
          <w:color w:val="595959" w:themeColor="text1" w:themeTint="A6"/>
        </w:rPr>
        <w:lastRenderedPageBreak/>
        <w:t>« </w:t>
      </w:r>
      <w:r w:rsidRPr="00404D12">
        <w:rPr>
          <w:i/>
          <w:color w:val="595959" w:themeColor="text1" w:themeTint="A6"/>
        </w:rPr>
        <w:t xml:space="preserve">La création de corpus sacrés nécessitait un sport de grande contenance qui pour autant ne supporte ni interpolation ni modification : le livre, qui accepte de vastes projets et qui, une fois qu'il les a serré dans sa reliure, les conserve </w:t>
      </w:r>
      <w:r w:rsidR="00404D12">
        <w:rPr>
          <w:i/>
          <w:color w:val="595959" w:themeColor="text1" w:themeTint="A6"/>
        </w:rPr>
        <w:t>intacts dans un ordre immuable. »</w:t>
      </w:r>
      <w:r>
        <w:br/>
        <w:t>Superbe citation de Régis Debray.</w:t>
      </w:r>
      <w:r>
        <w:br/>
      </w:r>
      <w:r>
        <w:br/>
      </w:r>
      <w:r w:rsidRPr="009650C0">
        <w:rPr>
          <w:b/>
          <w:color w:val="002060"/>
          <w:sz w:val="24"/>
        </w:rPr>
        <w:t>La guerre des canons</w:t>
      </w:r>
      <w:r w:rsidRPr="009650C0">
        <w:rPr>
          <w:color w:val="002060"/>
          <w:sz w:val="24"/>
        </w:rPr>
        <w:t xml:space="preserve"> </w:t>
      </w:r>
      <w:r>
        <w:br/>
        <w:t>Le cod</w:t>
      </w:r>
      <w:r w:rsidR="00404D12">
        <w:t>ex dans le contexte religieux</w:t>
      </w:r>
      <w:proofErr w:type="gramStart"/>
      <w:r w:rsidR="00404D12">
        <w:t>.</w:t>
      </w:r>
      <w:proofErr w:type="gramEnd"/>
      <w:r w:rsidR="00404D12">
        <w:br/>
      </w:r>
      <w:r w:rsidR="00404D12" w:rsidRPr="00404D12">
        <w:rPr>
          <w:i/>
          <w:color w:val="595959" w:themeColor="text1" w:themeTint="A6"/>
        </w:rPr>
        <w:t>« </w:t>
      </w:r>
      <w:r w:rsidRPr="00404D12">
        <w:rPr>
          <w:i/>
          <w:color w:val="595959" w:themeColor="text1" w:themeTint="A6"/>
        </w:rPr>
        <w:t>La forme ordonnée et reliée du codex était cependant la meilleure garantie contre les interpolations, les falsifications, les variantes, et le plus sûr moyen de t</w:t>
      </w:r>
      <w:r w:rsidR="00404D12" w:rsidRPr="00404D12">
        <w:rPr>
          <w:i/>
          <w:color w:val="595959" w:themeColor="text1" w:themeTint="A6"/>
        </w:rPr>
        <w:t>ransmettre un message intégral. »</w:t>
      </w:r>
      <w:r>
        <w:br/>
      </w:r>
      <w:r w:rsidR="00404D12">
        <w:rPr>
          <w:i/>
          <w:color w:val="595959" w:themeColor="text1" w:themeTint="A6"/>
        </w:rPr>
        <w:t>« </w:t>
      </w:r>
      <w:r w:rsidRPr="00404D12">
        <w:rPr>
          <w:i/>
          <w:color w:val="595959" w:themeColor="text1" w:themeTint="A6"/>
        </w:rPr>
        <w:t>L'écr</w:t>
      </w:r>
      <w:r w:rsidR="00404D12">
        <w:rPr>
          <w:i/>
          <w:color w:val="595959" w:themeColor="text1" w:themeTint="A6"/>
        </w:rPr>
        <w:t>an est un livre qui a de fuites »</w:t>
      </w:r>
      <w:r>
        <w:br/>
      </w:r>
      <w:r>
        <w:br/>
      </w:r>
      <w:r w:rsidRPr="009650C0">
        <w:rPr>
          <w:b/>
        </w:rPr>
        <w:t>Mots :</w:t>
      </w:r>
      <w:r>
        <w:t xml:space="preserve"> </w:t>
      </w:r>
      <w:r w:rsidRPr="00654A47">
        <w:rPr>
          <w:color w:val="538135" w:themeColor="accent6" w:themeShade="BF"/>
          <w:u w:val="single"/>
        </w:rPr>
        <w:t>mnémotechnique</w:t>
      </w:r>
      <w:r w:rsidR="00654A47">
        <w:rPr>
          <w:color w:val="538135" w:themeColor="accent6" w:themeShade="BF"/>
        </w:rPr>
        <w:t> : q</w:t>
      </w:r>
      <w:r w:rsidR="00654A47" w:rsidRPr="00654A47">
        <w:rPr>
          <w:color w:val="538135" w:themeColor="accent6" w:themeShade="BF"/>
        </w:rPr>
        <w:t>ui aide la mémoire par des procédés d'association mentale</w:t>
      </w:r>
      <w:proofErr w:type="gramStart"/>
      <w:r w:rsidR="00654A47" w:rsidRPr="00654A47">
        <w:rPr>
          <w:color w:val="538135" w:themeColor="accent6" w:themeShade="BF"/>
        </w:rPr>
        <w:t>.</w:t>
      </w:r>
      <w:proofErr w:type="gramEnd"/>
      <w:r w:rsidRPr="00654A47">
        <w:rPr>
          <w:color w:val="538135" w:themeColor="accent6" w:themeShade="BF"/>
        </w:rPr>
        <w:br/>
      </w:r>
      <w:r w:rsidR="00654A47" w:rsidRPr="00654A47">
        <w:rPr>
          <w:color w:val="538135" w:themeColor="accent6" w:themeShade="BF"/>
          <w:u w:val="single"/>
        </w:rPr>
        <w:t>« </w:t>
      </w:r>
      <w:r w:rsidRPr="00654A47">
        <w:rPr>
          <w:color w:val="538135" w:themeColor="accent6" w:themeShade="BF"/>
          <w:u w:val="single"/>
        </w:rPr>
        <w:t>Processus de canonisation</w:t>
      </w:r>
      <w:r w:rsidR="00654A47" w:rsidRPr="00654A47">
        <w:rPr>
          <w:color w:val="538135" w:themeColor="accent6" w:themeShade="BF"/>
          <w:u w:val="single"/>
        </w:rPr>
        <w:t xml:space="preserve"> » </w:t>
      </w:r>
    </w:p>
    <w:p w:rsidR="00654A47" w:rsidRPr="00654A47" w:rsidRDefault="00654A47" w:rsidP="00005A16">
      <w:pPr>
        <w:spacing w:after="0"/>
        <w:rPr>
          <w:color w:val="538135" w:themeColor="accent6" w:themeShade="BF"/>
        </w:rPr>
      </w:pPr>
      <w:r w:rsidRPr="00654A47">
        <w:rPr>
          <w:color w:val="538135" w:themeColor="accent6" w:themeShade="BF"/>
          <w:u w:val="single"/>
        </w:rPr>
        <w:t>Canonisation</w:t>
      </w:r>
      <w:r>
        <w:rPr>
          <w:color w:val="538135" w:themeColor="accent6" w:themeShade="BF"/>
        </w:rPr>
        <w:t> : d</w:t>
      </w:r>
      <w:r w:rsidRPr="00654A47">
        <w:rPr>
          <w:color w:val="538135" w:themeColor="accent6" w:themeShade="BF"/>
        </w:rPr>
        <w:t>éclaration solennelle par laquelle le pape, à la suite d'une longue enquête, ou procès, inscrit un personnage au catalogue des saints et autorise qu'un culte public lui soit rendu dans l'Église universelle</w:t>
      </w:r>
      <w:r>
        <w:rPr>
          <w:color w:val="538135" w:themeColor="accent6" w:themeShade="BF"/>
        </w:rPr>
        <w:t>…</w:t>
      </w:r>
      <w:r w:rsidR="009650C0">
        <w:br/>
      </w:r>
      <w:r w:rsidR="009650C0">
        <w:br/>
      </w:r>
      <w:r w:rsidR="009650C0" w:rsidRPr="009650C0">
        <w:rPr>
          <w:b/>
          <w:color w:val="002060"/>
          <w:sz w:val="24"/>
        </w:rPr>
        <w:t>Livre du culte ou culte du Livre ?</w:t>
      </w:r>
      <w:r w:rsidR="00404D12">
        <w:br/>
        <w:t>Religions de verbe</w:t>
      </w:r>
      <w:r w:rsidR="009650C0">
        <w:br/>
      </w:r>
      <w:r w:rsidR="00404D12">
        <w:rPr>
          <w:i/>
          <w:color w:val="595959" w:themeColor="text1" w:themeTint="A6"/>
        </w:rPr>
        <w:t>« </w:t>
      </w:r>
      <w:r w:rsidR="009650C0" w:rsidRPr="00404D12">
        <w:rPr>
          <w:i/>
          <w:color w:val="595959" w:themeColor="text1" w:themeTint="A6"/>
        </w:rPr>
        <w:t>Pour les religions orientales, hindou</w:t>
      </w:r>
      <w:r w:rsidR="00554FE3" w:rsidRPr="00404D12">
        <w:rPr>
          <w:i/>
          <w:color w:val="595959" w:themeColor="text1" w:themeTint="A6"/>
        </w:rPr>
        <w:t>iste</w:t>
      </w:r>
      <w:r w:rsidR="009650C0" w:rsidRPr="00404D12">
        <w:rPr>
          <w:i/>
          <w:color w:val="595959" w:themeColor="text1" w:themeTint="A6"/>
        </w:rPr>
        <w:t xml:space="preserve"> et </w:t>
      </w:r>
      <w:r w:rsidR="00554FE3" w:rsidRPr="00404D12">
        <w:rPr>
          <w:i/>
          <w:color w:val="595959" w:themeColor="text1" w:themeTint="A6"/>
        </w:rPr>
        <w:t>bouddhiste</w:t>
      </w:r>
      <w:r w:rsidR="009650C0" w:rsidRPr="00404D12">
        <w:rPr>
          <w:i/>
          <w:color w:val="595959" w:themeColor="text1" w:themeTint="A6"/>
        </w:rPr>
        <w:t>, dont le corpus écrit est considérable, e n'est pas le texte qui compte le plus, mais l'objet cérémoniel et plus encore les gest</w:t>
      </w:r>
      <w:r w:rsidR="00404D12">
        <w:rPr>
          <w:i/>
          <w:color w:val="595959" w:themeColor="text1" w:themeTint="A6"/>
        </w:rPr>
        <w:t>es liturgiques qui l'entourent. »</w:t>
      </w:r>
      <w:r w:rsidR="009650C0">
        <w:br/>
      </w:r>
      <w:r w:rsidR="009650C0">
        <w:br/>
      </w:r>
      <w:r w:rsidR="009650C0" w:rsidRPr="00654A47">
        <w:rPr>
          <w:b/>
          <w:color w:val="538135" w:themeColor="accent6" w:themeShade="BF"/>
        </w:rPr>
        <w:t>Mots :</w:t>
      </w:r>
      <w:r w:rsidR="009650C0" w:rsidRPr="00654A47">
        <w:rPr>
          <w:color w:val="538135" w:themeColor="accent6" w:themeShade="BF"/>
        </w:rPr>
        <w:t xml:space="preserve"> </w:t>
      </w:r>
    </w:p>
    <w:p w:rsidR="009650C0" w:rsidRPr="00654A47" w:rsidRDefault="00654A47" w:rsidP="00005A16">
      <w:pPr>
        <w:spacing w:after="0"/>
        <w:rPr>
          <w:color w:val="538135" w:themeColor="accent6" w:themeShade="BF"/>
        </w:rPr>
      </w:pPr>
      <w:r w:rsidRPr="00654A47">
        <w:rPr>
          <w:color w:val="538135" w:themeColor="accent6" w:themeShade="BF"/>
        </w:rPr>
        <w:t>P</w:t>
      </w:r>
      <w:r w:rsidR="009650C0" w:rsidRPr="00654A47">
        <w:rPr>
          <w:color w:val="538135" w:themeColor="accent6" w:themeShade="BF"/>
        </w:rPr>
        <w:t>salmodie vs cantillations</w:t>
      </w:r>
      <w:r w:rsidR="009650C0" w:rsidRPr="00654A47">
        <w:rPr>
          <w:color w:val="538135" w:themeColor="accent6" w:themeShade="BF"/>
        </w:rPr>
        <w:br/>
        <w:t xml:space="preserve">Doctrines cosmographiques </w:t>
      </w:r>
      <w:r w:rsidR="009650C0" w:rsidRPr="00654A47">
        <w:rPr>
          <w:color w:val="538135" w:themeColor="accent6" w:themeShade="BF"/>
        </w:rPr>
        <w:br/>
        <w:t>Médiologie</w:t>
      </w:r>
      <w:r w:rsidR="009650C0">
        <w:br/>
      </w:r>
      <w:r w:rsidR="009650C0">
        <w:br/>
      </w:r>
      <w:r w:rsidR="009650C0" w:rsidRPr="00654A47">
        <w:rPr>
          <w:b/>
          <w:color w:val="7030A0"/>
        </w:rPr>
        <w:t>Référence :</w:t>
      </w:r>
      <w:r w:rsidR="009650C0" w:rsidRPr="00654A47">
        <w:rPr>
          <w:color w:val="7030A0"/>
        </w:rPr>
        <w:t xml:space="preserve"> Max Weber</w:t>
      </w:r>
      <w:r w:rsidR="009650C0" w:rsidRPr="00654A47">
        <w:rPr>
          <w:color w:val="7030A0"/>
        </w:rPr>
        <w:br/>
        <w:t>Veda : recueils de chants et d'hymnes, formules rituelles et magiques d'époque très diff</w:t>
      </w:r>
      <w:r w:rsidR="00554FE3" w:rsidRPr="00654A47">
        <w:rPr>
          <w:color w:val="7030A0"/>
        </w:rPr>
        <w:t>érente</w:t>
      </w:r>
      <w:r w:rsidR="009650C0" w:rsidRPr="00654A47">
        <w:rPr>
          <w:color w:val="7030A0"/>
        </w:rPr>
        <w:t>.</w:t>
      </w:r>
      <w:r w:rsidR="009650C0" w:rsidRPr="00654A47">
        <w:rPr>
          <w:color w:val="7030A0"/>
        </w:rPr>
        <w:br/>
      </w:r>
      <w:r w:rsidR="009650C0" w:rsidRPr="00654A47">
        <w:rPr>
          <w:color w:val="7030A0"/>
        </w:rPr>
        <w:br/>
      </w:r>
      <w:r w:rsidR="009650C0">
        <w:br/>
      </w:r>
      <w:r w:rsidR="009650C0" w:rsidRPr="009650C0">
        <w:rPr>
          <w:b/>
          <w:color w:val="002060"/>
          <w:sz w:val="24"/>
        </w:rPr>
        <w:t>L'écriture et son support</w:t>
      </w:r>
      <w:r w:rsidR="009650C0" w:rsidRPr="009650C0">
        <w:rPr>
          <w:color w:val="002060"/>
          <w:sz w:val="24"/>
        </w:rPr>
        <w:t xml:space="preserve"> </w:t>
      </w:r>
      <w:r w:rsidR="009650C0">
        <w:br/>
        <w:t>Les livres hébraïques ne sont pas être détruits mais enterrés, car considérés com</w:t>
      </w:r>
      <w:r w:rsidR="00554FE3">
        <w:t>me saints!</w:t>
      </w:r>
      <w:r w:rsidR="00554FE3">
        <w:br/>
        <w:t>Pour la</w:t>
      </w:r>
      <w:r w:rsidR="009650C0">
        <w:t xml:space="preserve"> total</w:t>
      </w:r>
      <w:r w:rsidR="00554FE3">
        <w:t>e</w:t>
      </w:r>
      <w:r w:rsidR="009650C0">
        <w:t xml:space="preserve">, objet de culte dont c'est l'écriture que l'on adore, on doit suivre le texte à l'aide du </w:t>
      </w:r>
      <w:proofErr w:type="spellStart"/>
      <w:r w:rsidR="009650C0">
        <w:t>yad</w:t>
      </w:r>
      <w:proofErr w:type="spellEnd"/>
      <w:r w:rsidR="009650C0">
        <w:t>, stylet en forme de main qui évite souiller le rouleau.</w:t>
      </w:r>
      <w:r w:rsidR="009650C0">
        <w:br/>
      </w:r>
      <w:r w:rsidR="009650C0">
        <w:br/>
      </w:r>
      <w:r w:rsidR="009650C0" w:rsidRPr="00654A47">
        <w:rPr>
          <w:b/>
          <w:color w:val="538135" w:themeColor="accent6" w:themeShade="BF"/>
        </w:rPr>
        <w:t>Mots :</w:t>
      </w:r>
      <w:r w:rsidR="009650C0" w:rsidRPr="00654A47">
        <w:rPr>
          <w:color w:val="538135" w:themeColor="accent6" w:themeShade="BF"/>
        </w:rPr>
        <w:t xml:space="preserve"> </w:t>
      </w:r>
    </w:p>
    <w:p w:rsidR="009650C0" w:rsidRDefault="009650C0" w:rsidP="00005A16">
      <w:pPr>
        <w:spacing w:after="0"/>
      </w:pPr>
      <w:r w:rsidRPr="00654A47">
        <w:rPr>
          <w:color w:val="538135" w:themeColor="accent6" w:themeShade="BF"/>
        </w:rPr>
        <w:t>Tétragramme</w:t>
      </w:r>
      <w:r w:rsidRPr="00654A47">
        <w:rPr>
          <w:color w:val="538135" w:themeColor="accent6" w:themeShade="BF"/>
        </w:rPr>
        <w:br/>
        <w:t xml:space="preserve">Réglure </w:t>
      </w:r>
      <w:r>
        <w:br/>
      </w:r>
    </w:p>
    <w:p w:rsidR="009650C0" w:rsidRDefault="009650C0" w:rsidP="00005A16">
      <w:pPr>
        <w:spacing w:after="0"/>
      </w:pPr>
    </w:p>
    <w:p w:rsidR="009650C0" w:rsidRDefault="009650C0" w:rsidP="00005A16">
      <w:pPr>
        <w:spacing w:after="0"/>
      </w:pPr>
    </w:p>
    <w:p w:rsidR="009650C0" w:rsidRDefault="009650C0" w:rsidP="00005A16">
      <w:pPr>
        <w:spacing w:after="0"/>
      </w:pPr>
    </w:p>
    <w:p w:rsidR="009650C0" w:rsidRDefault="009650C0" w:rsidP="00005A16">
      <w:pPr>
        <w:spacing w:after="0"/>
      </w:pPr>
      <w:r>
        <w:t>_ _ _ _ _ _ _ _ _ _</w:t>
      </w:r>
    </w:p>
    <w:p w:rsidR="009650C0" w:rsidRPr="00EF070F" w:rsidRDefault="009650C0" w:rsidP="00005A16">
      <w:pPr>
        <w:spacing w:after="0"/>
        <w:rPr>
          <w:b/>
        </w:rPr>
      </w:pPr>
      <w:r>
        <w:br/>
        <w:t xml:space="preserve">"Il serait intéressant d'analyser ce que la notion "_" </w:t>
      </w:r>
      <w:r>
        <w:br/>
      </w:r>
      <w:r>
        <w:lastRenderedPageBreak/>
        <w:t xml:space="preserve">"Nous partirons de ce considérations pour tenter de mieux comprendre le lire, distinctions qui encore </w:t>
      </w:r>
      <w:proofErr w:type="spellStart"/>
      <w:r>
        <w:t>ajd</w:t>
      </w:r>
      <w:proofErr w:type="spellEnd"/>
      <w:r>
        <w:t xml:space="preserve"> ne sont pas une évidence..... "</w:t>
      </w:r>
    </w:p>
    <w:sectPr w:rsidR="009650C0" w:rsidRPr="00EF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18"/>
    <w:rsid w:val="00005A16"/>
    <w:rsid w:val="00033C7D"/>
    <w:rsid w:val="001123CF"/>
    <w:rsid w:val="00334088"/>
    <w:rsid w:val="00404D12"/>
    <w:rsid w:val="004F18D8"/>
    <w:rsid w:val="00554FE3"/>
    <w:rsid w:val="005B342F"/>
    <w:rsid w:val="00654A47"/>
    <w:rsid w:val="007C4218"/>
    <w:rsid w:val="00963E48"/>
    <w:rsid w:val="009650C0"/>
    <w:rsid w:val="009B6C33"/>
    <w:rsid w:val="00B13760"/>
    <w:rsid w:val="00CC3174"/>
    <w:rsid w:val="00CE0A19"/>
    <w:rsid w:val="00EF070F"/>
    <w:rsid w:val="00F17700"/>
    <w:rsid w:val="00F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3C4A8-DE94-4D2B-9A80-3DECD9D2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17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1770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7700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54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ternaute.com/dictionnaire/fr/definition/manier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nternaute.com/dictionnaire/fr/definition/monocorde/" TargetMode="External"/><Relationship Id="rId12" Type="http://schemas.openxmlformats.org/officeDocument/2006/relationships/hyperlink" Target="http://www.linternaute.com/dictionnaire/fr/definition/psau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ternaute.com/dictionnaire/fr/definition/recit/" TargetMode="External"/><Relationship Id="rId11" Type="http://schemas.openxmlformats.org/officeDocument/2006/relationships/hyperlink" Target="http://www.linternaute.com/dictionnaire/fr/definition/des/" TargetMode="External"/><Relationship Id="rId5" Type="http://schemas.openxmlformats.org/officeDocument/2006/relationships/hyperlink" Target="http://www.linternaute.com/dictionnaire/fr/definition/ou/" TargetMode="External"/><Relationship Id="rId10" Type="http://schemas.openxmlformats.org/officeDocument/2006/relationships/hyperlink" Target="http://www.linternaute.com/dictionnaire/fr/definition/chanter/" TargetMode="External"/><Relationship Id="rId4" Type="http://schemas.openxmlformats.org/officeDocument/2006/relationships/hyperlink" Target="http://www.linternaute.com/dictionnaire/fr/definition/chant/" TargetMode="External"/><Relationship Id="rId9" Type="http://schemas.openxmlformats.org/officeDocument/2006/relationships/hyperlink" Target="http://www.linternaute.com/dictionnaire/fr/definition/de-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15</cp:revision>
  <dcterms:created xsi:type="dcterms:W3CDTF">2016-05-05T13:12:00Z</dcterms:created>
  <dcterms:modified xsi:type="dcterms:W3CDTF">2016-05-15T17:28:00Z</dcterms:modified>
</cp:coreProperties>
</file>